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0E" w:rsidRDefault="009A700E" w:rsidP="0051766F">
      <w:pPr>
        <w:pStyle w:val="Nagwek3"/>
        <w:spacing w:before="360" w:line="252" w:lineRule="auto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413D79">
        <w:rPr>
          <w:b/>
          <w:sz w:val="24"/>
          <w:szCs w:val="24"/>
        </w:rPr>
        <w:t xml:space="preserve">Zakres oraz zasady zakupu towarów dostarczanych </w:t>
      </w:r>
      <w:r w:rsidR="00B75F29" w:rsidRPr="00413D79">
        <w:rPr>
          <w:b/>
          <w:sz w:val="24"/>
          <w:szCs w:val="24"/>
        </w:rPr>
        <w:br/>
      </w:r>
      <w:r w:rsidRPr="00413D79">
        <w:rPr>
          <w:b/>
          <w:sz w:val="24"/>
          <w:szCs w:val="24"/>
        </w:rPr>
        <w:t>w ramach umów ogólnouczelnianych</w:t>
      </w:r>
    </w:p>
    <w:p w:rsidR="00711C8F" w:rsidRPr="0051766F" w:rsidRDefault="00711C8F" w:rsidP="00711C8F">
      <w:pPr>
        <w:jc w:val="center"/>
        <w:rPr>
          <w:b/>
        </w:rPr>
      </w:pPr>
      <w:r w:rsidRPr="0051766F">
        <w:rPr>
          <w:b/>
        </w:rPr>
        <w:t>§ 1</w:t>
      </w:r>
    </w:p>
    <w:p w:rsidR="00F866F7" w:rsidRDefault="00F866F7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>Jednostki/komórki organizacyjne Uczelni zobowiązane są do dokonywania zakupów z</w:t>
      </w:r>
      <w:r w:rsidR="0051766F">
        <w:t> </w:t>
      </w:r>
      <w:r>
        <w:t>wykorzystaniem zawartych przez Uczelnię umów ogólnouczelnianych, obejmujących dostawę poniższych towarów.</w:t>
      </w:r>
    </w:p>
    <w:p w:rsidR="00413D79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 xml:space="preserve">papier do drukarek; 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materiały biurowe;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odzież robocza;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materiały eksploatacyjne do urządzeń drukujących (tonery i tusze);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pieczątki;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środki czystości;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woda mineralna butelkowana;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kalendarze;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odczynniki chemiczne;</w:t>
      </w:r>
    </w:p>
    <w:p w:rsidR="009A700E" w:rsidRDefault="00413D79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catering</w:t>
      </w:r>
      <w:r w:rsidR="009A700E">
        <w:t>;</w:t>
      </w:r>
    </w:p>
    <w:p w:rsidR="00F866F7" w:rsidRDefault="00F866F7" w:rsidP="0051766F">
      <w:pPr>
        <w:pStyle w:val="Akapitzlist"/>
        <w:numPr>
          <w:ilvl w:val="0"/>
          <w:numId w:val="6"/>
        </w:numPr>
        <w:spacing w:after="327"/>
        <w:ind w:left="851" w:right="155"/>
      </w:pPr>
      <w:r>
        <w:t>sprzęt komputerowy;</w:t>
      </w:r>
    </w:p>
    <w:p w:rsidR="009A700E" w:rsidRDefault="009A700E" w:rsidP="0051766F">
      <w:pPr>
        <w:pStyle w:val="Akapitzlist"/>
        <w:numPr>
          <w:ilvl w:val="0"/>
          <w:numId w:val="6"/>
        </w:numPr>
        <w:spacing w:after="60" w:line="264" w:lineRule="auto"/>
        <w:ind w:left="850" w:right="153" w:hanging="357"/>
        <w:contextualSpacing w:val="0"/>
      </w:pPr>
      <w:r>
        <w:t>materiały elektryczne w zakresie źródeł światła, osprzętu elektrycznego (styczników, układów zapłonowych) oraz automatyki (czujników ruchu).</w:t>
      </w:r>
    </w:p>
    <w:p w:rsidR="00F866F7" w:rsidRPr="0051766F" w:rsidRDefault="00305B73" w:rsidP="0051766F">
      <w:pPr>
        <w:pStyle w:val="Akapitzlist"/>
        <w:numPr>
          <w:ilvl w:val="0"/>
          <w:numId w:val="4"/>
        </w:numPr>
        <w:spacing w:after="327"/>
        <w:ind w:left="426" w:right="155" w:hanging="426"/>
        <w:rPr>
          <w:spacing w:val="-2"/>
        </w:rPr>
      </w:pPr>
      <w:r w:rsidRPr="0051766F">
        <w:rPr>
          <w:spacing w:val="-2"/>
        </w:rPr>
        <w:t xml:space="preserve">Zakup poza wymienionymi w </w:t>
      </w:r>
      <w:r w:rsidR="00B840F3">
        <w:rPr>
          <w:spacing w:val="-2"/>
        </w:rPr>
        <w:t>ust</w:t>
      </w:r>
      <w:r w:rsidRPr="0051766F">
        <w:rPr>
          <w:spacing w:val="-2"/>
        </w:rPr>
        <w:t>.</w:t>
      </w:r>
      <w:r w:rsidR="009A700E" w:rsidRPr="0051766F">
        <w:rPr>
          <w:spacing w:val="-2"/>
        </w:rPr>
        <w:t xml:space="preserve"> 1 umowami możliwy jest wyłącznie w sytuacji uzasadnionej potrzeby pozyskania asortymentu o innych parametrach, cechach niż określone w zawartych umowach ogólnouczelnianych. </w:t>
      </w:r>
      <w:r w:rsidR="00F866F7" w:rsidRPr="0051766F">
        <w:rPr>
          <w:spacing w:val="-2"/>
        </w:rPr>
        <w:t xml:space="preserve">Uzasadnioną potrzebą jest brak możliwości zrealizowania danego celu w oparciu o asortyment zawarty w umowach, o których mowa w </w:t>
      </w:r>
      <w:r w:rsidR="0051766F" w:rsidRPr="0051766F">
        <w:rPr>
          <w:spacing w:val="-2"/>
        </w:rPr>
        <w:t>ust</w:t>
      </w:r>
      <w:r w:rsidR="00F866F7" w:rsidRPr="0051766F">
        <w:rPr>
          <w:spacing w:val="-2"/>
        </w:rPr>
        <w:t>.1</w:t>
      </w:r>
      <w:r w:rsidR="009846F7" w:rsidRPr="0051766F">
        <w:rPr>
          <w:spacing w:val="-2"/>
        </w:rPr>
        <w:t>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 xml:space="preserve">Zakup </w:t>
      </w:r>
      <w:r w:rsidR="009846F7">
        <w:t xml:space="preserve">o którym mowa w </w:t>
      </w:r>
      <w:r w:rsidR="0051766F">
        <w:t>ust</w:t>
      </w:r>
      <w:r w:rsidR="009846F7">
        <w:t xml:space="preserve">. 2 </w:t>
      </w:r>
      <w:r>
        <w:t>możliwy jest wyłącznie po uzyskaniu zgody:</w:t>
      </w:r>
    </w:p>
    <w:p w:rsidR="009A700E" w:rsidRDefault="009A700E" w:rsidP="0051766F">
      <w:pPr>
        <w:pStyle w:val="Akapitzlist"/>
        <w:numPr>
          <w:ilvl w:val="0"/>
          <w:numId w:val="7"/>
        </w:numPr>
        <w:spacing w:after="327"/>
        <w:ind w:left="851" w:right="155"/>
      </w:pPr>
      <w:r>
        <w:t>Prorektora ds. Organizacji i Rozwoju Uczelni lub upoważnionej przez niego osoby w</w:t>
      </w:r>
      <w:r w:rsidR="00AC0DA3">
        <w:t> </w:t>
      </w:r>
      <w:r>
        <w:t>przypadku potrzeby zakupu sprzętu komputerowego;</w:t>
      </w:r>
    </w:p>
    <w:p w:rsidR="009A700E" w:rsidRDefault="00CA5504" w:rsidP="0051766F">
      <w:pPr>
        <w:pStyle w:val="Akapitzlist"/>
        <w:numPr>
          <w:ilvl w:val="0"/>
          <w:numId w:val="7"/>
        </w:numPr>
        <w:spacing w:after="60" w:line="264" w:lineRule="auto"/>
        <w:ind w:left="850" w:right="153" w:hanging="357"/>
        <w:contextualSpacing w:val="0"/>
      </w:pPr>
      <w:r>
        <w:t>Dyrektora Finansowego</w:t>
      </w:r>
      <w:r w:rsidR="009A700E">
        <w:t xml:space="preserve"> lub upoważnionej przez niego osoby w przypadku konieczności zakupu pozostałego asortymentu z </w:t>
      </w:r>
      <w:r w:rsidR="00305B73">
        <w:t xml:space="preserve">zakresu, o którym mowa w </w:t>
      </w:r>
      <w:r w:rsidR="0051766F">
        <w:t>ust</w:t>
      </w:r>
      <w:r w:rsidR="00450771">
        <w:t>. 1</w:t>
      </w:r>
      <w:r w:rsidR="009A700E">
        <w:t>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>Skan pisma zawierającego zgodę, o której mowa w punkcie powyżej należy załączyć w</w:t>
      </w:r>
      <w:r w:rsidR="0051766F">
        <w:t> </w:t>
      </w:r>
      <w:r>
        <w:t>systemie Teta EDU do wniosku o zakup danego towaru, z wyjątkiem sytuacji gdy obieg wniosku zakupoweg</w:t>
      </w:r>
      <w:r w:rsidR="00305B73">
        <w:t xml:space="preserve">o </w:t>
      </w:r>
      <w:r w:rsidR="00660639">
        <w:t xml:space="preserve">w systemie Teta EDU </w:t>
      </w:r>
      <w:r w:rsidR="00305B73">
        <w:t xml:space="preserve">obejmuje zgody określone w </w:t>
      </w:r>
      <w:r w:rsidR="0051766F">
        <w:t>us</w:t>
      </w:r>
      <w:r w:rsidR="00305B73">
        <w:t>t</w:t>
      </w:r>
      <w:r>
        <w:t>. 3. Wniosek o</w:t>
      </w:r>
      <w:r w:rsidR="0051766F">
        <w:t> </w:t>
      </w:r>
      <w:r>
        <w:t>zakup realizowany jest według ogólnych zasad dotyczących zakupów na Uczelni.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>Filie oraz ośrodki wypoczynkowe mogą dokonywać za</w:t>
      </w:r>
      <w:r w:rsidR="00305B73">
        <w:t xml:space="preserve">kupów poza wymienionymi w </w:t>
      </w:r>
      <w:r w:rsidR="0051766F">
        <w:t>us</w:t>
      </w:r>
      <w:r w:rsidR="00305B73">
        <w:t>t</w:t>
      </w:r>
      <w:r w:rsidR="00450771">
        <w:t>. 1</w:t>
      </w:r>
      <w:r>
        <w:t xml:space="preserve"> umowami.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>Sekcja Zakupów, na podstawie planowanych i zgłoszonych zapotrzebowań jednostek i</w:t>
      </w:r>
      <w:r w:rsidR="0051766F">
        <w:t> </w:t>
      </w:r>
      <w:r>
        <w:t>komórek Uczelni ustala szacowaną wartość netto w zakr</w:t>
      </w:r>
      <w:r w:rsidR="00305B73">
        <w:t xml:space="preserve">esie zamówień określonych w </w:t>
      </w:r>
      <w:r w:rsidR="0051766F">
        <w:t>us</w:t>
      </w:r>
      <w:r w:rsidR="00305B73">
        <w:t>t. 1</w:t>
      </w:r>
      <w:r>
        <w:t xml:space="preserve"> oraz</w:t>
      </w:r>
      <w:r w:rsidR="00F866F7">
        <w:t xml:space="preserve"> planowany</w:t>
      </w:r>
      <w:r>
        <w:t xml:space="preserve"> miesiąc rozpoczęcia realizacji zamówienia, następnie na koniec roku przekazuje te dane do Zespołu ds. Planu Zamówień Publicznych, który tworzy Centralny Plan Zamówień Publicznych.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 xml:space="preserve">Aktualny wykaz zawartych umów i ich symbole, specyfikacja techniczna sprzętu komputerowego oraz katalogi produktów wraz z indeksami znajdują się </w:t>
      </w:r>
      <w:r w:rsidR="00CA5504">
        <w:t>w Intranecie w</w:t>
      </w:r>
      <w:r w:rsidR="0051766F">
        <w:t> </w:t>
      </w:r>
      <w:r w:rsidR="00CA5504">
        <w:t xml:space="preserve">zakładce Zakupy </w:t>
      </w:r>
      <w:r>
        <w:t xml:space="preserve">na stronie </w:t>
      </w:r>
      <w:hyperlink r:id="rId7" w:history="1">
        <w:r w:rsidR="001D6378" w:rsidRPr="00871AA8">
          <w:rPr>
            <w:rStyle w:val="Hipercze"/>
            <w:u w:color="000000"/>
          </w:rPr>
          <w:t>https://intranet.pwr.edu.pl/zakupy/Forms.aspx</w:t>
        </w:r>
      </w:hyperlink>
      <w:r>
        <w:t>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 xml:space="preserve">Terminy oraz sposoby dostaw uzależnione są od przedmiotu dostawy. Wykaz znajduje się </w:t>
      </w:r>
      <w:r w:rsidR="00CA5504">
        <w:t>w</w:t>
      </w:r>
      <w:r w:rsidR="0051766F">
        <w:t> </w:t>
      </w:r>
      <w:r w:rsidR="00CA5504">
        <w:t xml:space="preserve">Intranecie w zakładce Zakupy </w:t>
      </w:r>
      <w:r>
        <w:t xml:space="preserve">na stronie </w:t>
      </w:r>
      <w:hyperlink r:id="rId8" w:history="1">
        <w:r w:rsidR="001D6378" w:rsidRPr="00871AA8">
          <w:rPr>
            <w:rStyle w:val="Hipercze"/>
            <w:u w:color="000000"/>
          </w:rPr>
          <w:t>https://intranet.pwr.edu.pl/zakupy/Forms.aspx</w:t>
        </w:r>
      </w:hyperlink>
      <w:r>
        <w:t>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lastRenderedPageBreak/>
        <w:t>Zamówienia realizowane są przy wykorzystaniu systemu informatycznego Teta EDU.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>Zamawiając materiały z Magazynu Centralnego należy wybrać wniosek (WNM) ze</w:t>
      </w:r>
      <w:r w:rsidR="0051766F">
        <w:t> </w:t>
      </w:r>
      <w:r>
        <w:t>w</w:t>
      </w:r>
      <w:r w:rsidR="0035076B">
        <w:t>skazaniem właściwego magazynu. W</w:t>
      </w:r>
      <w:r>
        <w:t xml:space="preserve"> przypadku zamawiania materiałów bezpośrednio od</w:t>
      </w:r>
      <w:r w:rsidR="003B038E">
        <w:t> </w:t>
      </w:r>
      <w:r>
        <w:t>dostawcy na wskazany adres Politechniki Wrocławskiej należy wybrać wniosek</w:t>
      </w:r>
      <w:r w:rsidR="0035076B">
        <w:t xml:space="preserve"> (WN)</w:t>
      </w:r>
      <w:r>
        <w:t>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 xml:space="preserve">Instrukcja rejestracji wniosku z umowy dostępna jest na stronie </w:t>
      </w:r>
      <w:r w:rsidRPr="001D6378">
        <w:rPr>
          <w:u w:val="single" w:color="000000"/>
        </w:rPr>
        <w:t>https://procesy.intranet.pwr.edu.pl</w:t>
      </w:r>
      <w:r>
        <w:t xml:space="preserve"> /lnstrukcje ZSI/Instrukcja LG-Zakupy/symbol LGZ 02.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>Zakupy będą realizowane w ramach umów ogólnouczelnianych do momentu wyczerpania się kwoty określonej w umowie, asortymentu lub upływu terminu obowiązywania umowy.</w:t>
      </w:r>
    </w:p>
    <w:p w:rsidR="009A700E" w:rsidRDefault="009A700E" w:rsidP="0051766F">
      <w:pPr>
        <w:pStyle w:val="Akapitzlist"/>
        <w:numPr>
          <w:ilvl w:val="0"/>
          <w:numId w:val="4"/>
        </w:numPr>
        <w:spacing w:after="327"/>
        <w:ind w:left="426" w:right="155" w:hanging="426"/>
      </w:pPr>
      <w:r>
        <w:t>W razie pojawiających się pytań i wątpliwości przy składaniu wniosku na zakup ww.</w:t>
      </w:r>
      <w:r w:rsidR="0051766F">
        <w:t> </w:t>
      </w:r>
      <w:r>
        <w:t xml:space="preserve">przedmiotów zalecany jest wcześniejszy kontakt z opiekunem umowy po stronie Politechniki Wrocławskiej. Lista poszczególnych opiekunów umów zawarta jest w </w:t>
      </w:r>
      <w:r w:rsidR="001D6378">
        <w:t>„Wykazie umów centralnych” znajduj</w:t>
      </w:r>
      <w:r>
        <w:t>ący</w:t>
      </w:r>
      <w:r w:rsidR="001D6378">
        <w:t>m s</w:t>
      </w:r>
      <w:r>
        <w:t>ię na</w:t>
      </w:r>
      <w:r w:rsidR="00CA5504">
        <w:t xml:space="preserve"> w Intranecie w zakładce Zakupy na</w:t>
      </w:r>
      <w:r>
        <w:t xml:space="preserve"> stronie </w:t>
      </w:r>
      <w:r w:rsidRPr="001D6378">
        <w:rPr>
          <w:u w:val="single" w:color="000000"/>
        </w:rPr>
        <w:t>https://intranet.pwr.edu.pl/zakupy/Forms.aspx.</w:t>
      </w:r>
    </w:p>
    <w:p w:rsidR="00711C8F" w:rsidRPr="0051766F" w:rsidRDefault="00711C8F" w:rsidP="00572FBD">
      <w:pPr>
        <w:jc w:val="center"/>
        <w:rPr>
          <w:b/>
        </w:rPr>
      </w:pPr>
      <w:r w:rsidRPr="0051766F">
        <w:rPr>
          <w:b/>
        </w:rPr>
        <w:t>§ 2</w:t>
      </w:r>
    </w:p>
    <w:p w:rsidR="00711C8F" w:rsidRPr="00711C8F" w:rsidRDefault="00711C8F" w:rsidP="0051766F">
      <w:pPr>
        <w:pStyle w:val="Akapitzlist"/>
        <w:numPr>
          <w:ilvl w:val="0"/>
          <w:numId w:val="11"/>
        </w:numPr>
        <w:ind w:left="426" w:hanging="426"/>
      </w:pPr>
      <w:r w:rsidRPr="00711C8F">
        <w:t xml:space="preserve">W celu uzyskania zgody, o której mowa w </w:t>
      </w:r>
      <w:r w:rsidR="00572FBD">
        <w:t xml:space="preserve">§ 1 </w:t>
      </w:r>
      <w:r w:rsidRPr="00711C8F">
        <w:t>ust. 3 należy wysłać e-mail zawierający:</w:t>
      </w:r>
    </w:p>
    <w:p w:rsidR="00711C8F" w:rsidRPr="00711C8F" w:rsidRDefault="00711C8F" w:rsidP="00711C8F">
      <w:pPr>
        <w:numPr>
          <w:ilvl w:val="0"/>
          <w:numId w:val="9"/>
        </w:numPr>
      </w:pPr>
      <w:r w:rsidRPr="00711C8F">
        <w:t>nazwę jednostki/komórki organizacyjnej oraz imię i nazwisko osoby wnioskującej,</w:t>
      </w:r>
    </w:p>
    <w:p w:rsidR="00711C8F" w:rsidRPr="00711C8F" w:rsidRDefault="00711C8F" w:rsidP="00711C8F">
      <w:pPr>
        <w:numPr>
          <w:ilvl w:val="0"/>
          <w:numId w:val="9"/>
        </w:numPr>
      </w:pPr>
      <w:r w:rsidRPr="00711C8F">
        <w:t>opis zamawianego asortymentu,</w:t>
      </w:r>
    </w:p>
    <w:p w:rsidR="00711C8F" w:rsidRPr="00711C8F" w:rsidRDefault="00711C8F" w:rsidP="00711C8F">
      <w:pPr>
        <w:numPr>
          <w:ilvl w:val="0"/>
          <w:numId w:val="9"/>
        </w:numPr>
      </w:pPr>
      <w:r w:rsidRPr="00711C8F">
        <w:t>uzasadnienie potrzeby pozyskania asortymentu innego niż znajdujący się w umowie ogólnouczelnianej wskazujące, że wnioskodawca nie jest w stanie osiągnąć zamierzonego celu, asortymentem zawartym w danej umowie,</w:t>
      </w:r>
    </w:p>
    <w:p w:rsidR="00711C8F" w:rsidRPr="00711C8F" w:rsidRDefault="00711C8F" w:rsidP="0051766F">
      <w:pPr>
        <w:spacing w:before="120" w:after="120" w:line="264" w:lineRule="auto"/>
        <w:ind w:left="380" w:right="397" w:firstLine="697"/>
      </w:pPr>
      <w:r w:rsidRPr="00711C8F">
        <w:t xml:space="preserve">na adres:   </w:t>
      </w:r>
      <w:hyperlink r:id="rId9" w:history="1">
        <w:r w:rsidRPr="00711C8F">
          <w:rPr>
            <w:rStyle w:val="Hipercze"/>
          </w:rPr>
          <w:t>umowy@pwr.edu.pl</w:t>
        </w:r>
      </w:hyperlink>
      <w:r w:rsidRPr="00711C8F">
        <w:t>.</w:t>
      </w:r>
    </w:p>
    <w:p w:rsidR="00711C8F" w:rsidRPr="00711C8F" w:rsidRDefault="00711C8F" w:rsidP="00711C8F">
      <w:pPr>
        <w:pStyle w:val="Akapitzlist"/>
        <w:numPr>
          <w:ilvl w:val="0"/>
          <w:numId w:val="11"/>
        </w:numPr>
        <w:ind w:left="426" w:hanging="426"/>
      </w:pPr>
      <w:r w:rsidRPr="00711C8F">
        <w:t>Informacja zawierająca zgodę lub brak zgody na zakup zostanie odesłana do wnioskodawcy na adres e-mail, z którego wysłano wniosek.</w:t>
      </w:r>
    </w:p>
    <w:p w:rsidR="00711C8F" w:rsidRPr="00711C8F" w:rsidRDefault="00711C8F" w:rsidP="00711C8F">
      <w:pPr>
        <w:numPr>
          <w:ilvl w:val="0"/>
          <w:numId w:val="11"/>
        </w:numPr>
        <w:ind w:left="426" w:hanging="426"/>
      </w:pPr>
      <w:r w:rsidRPr="00711C8F">
        <w:t>Wnioski przesłane w inny sposób nie będą rozpatrywane.</w:t>
      </w:r>
    </w:p>
    <w:p w:rsidR="00711C8F" w:rsidRPr="00711C8F" w:rsidRDefault="00711C8F" w:rsidP="00711C8F">
      <w:pPr>
        <w:numPr>
          <w:ilvl w:val="0"/>
          <w:numId w:val="11"/>
        </w:numPr>
        <w:ind w:left="426" w:hanging="426"/>
      </w:pPr>
      <w:r w:rsidRPr="00711C8F">
        <w:t>Do wniosku zakupowego dotyczącego asortymentu objętego zgodą należy załączyć e-mail zawierający zgodę. Wniosek zakupowy realizowany jest w oparciu o ogólnie</w:t>
      </w:r>
      <w:r w:rsidR="00572FBD">
        <w:t xml:space="preserve"> obowiązujące w Uczelni zasady.</w:t>
      </w:r>
    </w:p>
    <w:p w:rsidR="00711C8F" w:rsidRPr="00711C8F" w:rsidRDefault="00711C8F" w:rsidP="00711C8F">
      <w:pPr>
        <w:numPr>
          <w:ilvl w:val="0"/>
          <w:numId w:val="11"/>
        </w:numPr>
        <w:ind w:left="426" w:hanging="426"/>
      </w:pPr>
      <w:r w:rsidRPr="00711C8F">
        <w:t>Do wydawania zgód na zakup poza umowami ogólnouczelnianymi (</w:t>
      </w:r>
      <w:r w:rsidRPr="00711C8F">
        <w:rPr>
          <w:u w:val="single"/>
        </w:rPr>
        <w:t>nie dotyczy umowy na</w:t>
      </w:r>
      <w:r w:rsidR="0048026A">
        <w:rPr>
          <w:u w:val="single"/>
        </w:rPr>
        <w:t> </w:t>
      </w:r>
      <w:r w:rsidRPr="00711C8F">
        <w:rPr>
          <w:u w:val="single"/>
        </w:rPr>
        <w:t>zakup sprzętu komputerowego</w:t>
      </w:r>
      <w:r w:rsidRPr="00711C8F">
        <w:t xml:space="preserve">) upoważniony jest Kierownik Sekcji Zakupów w Dziale Zakupów i Zamówień Publicznych. </w:t>
      </w:r>
    </w:p>
    <w:sectPr w:rsidR="00711C8F" w:rsidRPr="00711C8F" w:rsidSect="00480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41"/>
      <w:pgMar w:top="1135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2C" w:rsidRDefault="000A772C" w:rsidP="0051766F">
      <w:pPr>
        <w:spacing w:after="0" w:line="240" w:lineRule="auto"/>
      </w:pPr>
      <w:r>
        <w:separator/>
      </w:r>
    </w:p>
  </w:endnote>
  <w:endnote w:type="continuationSeparator" w:id="0">
    <w:p w:rsidR="000A772C" w:rsidRDefault="000A772C" w:rsidP="0051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8E" w:rsidRDefault="003B03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92146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1766F" w:rsidRPr="0051766F" w:rsidRDefault="0051766F">
        <w:pPr>
          <w:pStyle w:val="Stopka"/>
          <w:jc w:val="center"/>
          <w:rPr>
            <w:sz w:val="20"/>
          </w:rPr>
        </w:pPr>
        <w:r w:rsidRPr="0051766F">
          <w:rPr>
            <w:sz w:val="20"/>
          </w:rPr>
          <w:fldChar w:fldCharType="begin"/>
        </w:r>
        <w:r w:rsidRPr="0051766F">
          <w:rPr>
            <w:sz w:val="20"/>
          </w:rPr>
          <w:instrText>PAGE   \* MERGEFORMAT</w:instrText>
        </w:r>
        <w:r w:rsidRPr="0051766F">
          <w:rPr>
            <w:sz w:val="20"/>
          </w:rPr>
          <w:fldChar w:fldCharType="separate"/>
        </w:r>
        <w:r w:rsidR="007C76E7">
          <w:rPr>
            <w:noProof/>
            <w:sz w:val="20"/>
          </w:rPr>
          <w:t>2</w:t>
        </w:r>
        <w:r w:rsidRPr="0051766F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8E" w:rsidRDefault="003B0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2C" w:rsidRDefault="000A772C" w:rsidP="0051766F">
      <w:pPr>
        <w:spacing w:after="0" w:line="240" w:lineRule="auto"/>
      </w:pPr>
      <w:r>
        <w:separator/>
      </w:r>
    </w:p>
  </w:footnote>
  <w:footnote w:type="continuationSeparator" w:id="0">
    <w:p w:rsidR="000A772C" w:rsidRDefault="000A772C" w:rsidP="0051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8E" w:rsidRDefault="003B03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6F" w:rsidRPr="0051766F" w:rsidRDefault="0051766F" w:rsidP="0051766F">
    <w:pPr>
      <w:jc w:val="right"/>
      <w:rPr>
        <w:i/>
        <w:sz w:val="20"/>
      </w:rPr>
    </w:pPr>
    <w:r w:rsidRPr="0051766F">
      <w:rPr>
        <w:i/>
        <w:sz w:val="20"/>
      </w:rPr>
      <w:t>Zał</w:t>
    </w:r>
    <w:r>
      <w:rPr>
        <w:i/>
        <w:sz w:val="20"/>
      </w:rPr>
      <w:t>ącznik</w:t>
    </w:r>
    <w:r w:rsidRPr="0051766F">
      <w:rPr>
        <w:i/>
        <w:sz w:val="20"/>
      </w:rPr>
      <w:t xml:space="preserve"> </w:t>
    </w:r>
    <w:r>
      <w:rPr>
        <w:i/>
        <w:sz w:val="20"/>
      </w:rPr>
      <w:t>n</w:t>
    </w:r>
    <w:r w:rsidRPr="0051766F">
      <w:rPr>
        <w:i/>
        <w:sz w:val="20"/>
      </w:rPr>
      <w:t xml:space="preserve">r 4 do ZW </w:t>
    </w:r>
    <w:r w:rsidR="003B038E">
      <w:rPr>
        <w:i/>
        <w:sz w:val="20"/>
      </w:rPr>
      <w:t>38</w:t>
    </w:r>
    <w:r w:rsidRPr="0051766F">
      <w:rPr>
        <w:i/>
        <w:sz w:val="20"/>
      </w:rPr>
      <w:t>/2023 (do Regulaminu)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8E" w:rsidRDefault="003B03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6FC"/>
    <w:multiLevelType w:val="hybridMultilevel"/>
    <w:tmpl w:val="A4306EA6"/>
    <w:lvl w:ilvl="0" w:tplc="0415000F">
      <w:start w:val="1"/>
      <w:numFmt w:val="decimal"/>
      <w:lvlText w:val="%1."/>
      <w:lvlJc w:val="left"/>
      <w:pPr>
        <w:ind w:left="2165" w:hanging="360"/>
      </w:pPr>
    </w:lvl>
    <w:lvl w:ilvl="1" w:tplc="04150019" w:tentative="1">
      <w:start w:val="1"/>
      <w:numFmt w:val="lowerLetter"/>
      <w:lvlText w:val="%2."/>
      <w:lvlJc w:val="left"/>
      <w:pPr>
        <w:ind w:left="2885" w:hanging="360"/>
      </w:pPr>
    </w:lvl>
    <w:lvl w:ilvl="2" w:tplc="0415001B" w:tentative="1">
      <w:start w:val="1"/>
      <w:numFmt w:val="lowerRoman"/>
      <w:lvlText w:val="%3."/>
      <w:lvlJc w:val="right"/>
      <w:pPr>
        <w:ind w:left="3605" w:hanging="180"/>
      </w:pPr>
    </w:lvl>
    <w:lvl w:ilvl="3" w:tplc="0415000F" w:tentative="1">
      <w:start w:val="1"/>
      <w:numFmt w:val="decimal"/>
      <w:lvlText w:val="%4."/>
      <w:lvlJc w:val="left"/>
      <w:pPr>
        <w:ind w:left="4325" w:hanging="360"/>
      </w:pPr>
    </w:lvl>
    <w:lvl w:ilvl="4" w:tplc="04150019" w:tentative="1">
      <w:start w:val="1"/>
      <w:numFmt w:val="lowerLetter"/>
      <w:lvlText w:val="%5."/>
      <w:lvlJc w:val="left"/>
      <w:pPr>
        <w:ind w:left="5045" w:hanging="360"/>
      </w:pPr>
    </w:lvl>
    <w:lvl w:ilvl="5" w:tplc="0415001B" w:tentative="1">
      <w:start w:val="1"/>
      <w:numFmt w:val="lowerRoman"/>
      <w:lvlText w:val="%6."/>
      <w:lvlJc w:val="right"/>
      <w:pPr>
        <w:ind w:left="5765" w:hanging="180"/>
      </w:pPr>
    </w:lvl>
    <w:lvl w:ilvl="6" w:tplc="0415000F" w:tentative="1">
      <w:start w:val="1"/>
      <w:numFmt w:val="decimal"/>
      <w:lvlText w:val="%7."/>
      <w:lvlJc w:val="left"/>
      <w:pPr>
        <w:ind w:left="6485" w:hanging="360"/>
      </w:pPr>
    </w:lvl>
    <w:lvl w:ilvl="7" w:tplc="04150019" w:tentative="1">
      <w:start w:val="1"/>
      <w:numFmt w:val="lowerLetter"/>
      <w:lvlText w:val="%8."/>
      <w:lvlJc w:val="left"/>
      <w:pPr>
        <w:ind w:left="7205" w:hanging="360"/>
      </w:pPr>
    </w:lvl>
    <w:lvl w:ilvl="8" w:tplc="0415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1" w15:restartNumberingAfterBreak="0">
    <w:nsid w:val="1B540CAF"/>
    <w:multiLevelType w:val="hybridMultilevel"/>
    <w:tmpl w:val="9704D9CC"/>
    <w:lvl w:ilvl="0" w:tplc="F3885782">
      <w:start w:val="1"/>
      <w:numFmt w:val="decimal"/>
      <w:lvlText w:val="%1)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88FFE">
      <w:start w:val="1"/>
      <w:numFmt w:val="lowerLetter"/>
      <w:lvlText w:val="%2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CD066">
      <w:start w:val="1"/>
      <w:numFmt w:val="lowerRoman"/>
      <w:lvlText w:val="%3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26670">
      <w:start w:val="1"/>
      <w:numFmt w:val="decimal"/>
      <w:lvlText w:val="%4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47FFA">
      <w:start w:val="1"/>
      <w:numFmt w:val="lowerLetter"/>
      <w:lvlText w:val="%5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8E0A4">
      <w:start w:val="1"/>
      <w:numFmt w:val="lowerRoman"/>
      <w:lvlText w:val="%6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0842C">
      <w:start w:val="1"/>
      <w:numFmt w:val="decimal"/>
      <w:lvlText w:val="%7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EAB28">
      <w:start w:val="1"/>
      <w:numFmt w:val="lowerLetter"/>
      <w:lvlText w:val="%8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051B8">
      <w:start w:val="1"/>
      <w:numFmt w:val="lowerRoman"/>
      <w:lvlText w:val="%9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66C49"/>
    <w:multiLevelType w:val="hybridMultilevel"/>
    <w:tmpl w:val="FFF86B72"/>
    <w:lvl w:ilvl="0" w:tplc="04150011">
      <w:start w:val="1"/>
      <w:numFmt w:val="decimal"/>
      <w:lvlText w:val="%1)"/>
      <w:lvlJc w:val="left"/>
      <w:pPr>
        <w:ind w:left="1445" w:hanging="360"/>
      </w:pPr>
    </w:lvl>
    <w:lvl w:ilvl="1" w:tplc="04150019" w:tentative="1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25207203"/>
    <w:multiLevelType w:val="hybridMultilevel"/>
    <w:tmpl w:val="2E7E1362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32326C5B"/>
    <w:multiLevelType w:val="hybridMultilevel"/>
    <w:tmpl w:val="701EA810"/>
    <w:lvl w:ilvl="0" w:tplc="3D0A279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332D0146"/>
    <w:multiLevelType w:val="hybridMultilevel"/>
    <w:tmpl w:val="FD80D17C"/>
    <w:lvl w:ilvl="0" w:tplc="03A661CA">
      <w:start w:val="5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AC3EE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A6FA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65D4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0258C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2AC8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CB018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ECD5CA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CF0C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620DE5"/>
    <w:multiLevelType w:val="hybridMultilevel"/>
    <w:tmpl w:val="6082D3BA"/>
    <w:lvl w:ilvl="0" w:tplc="04150011">
      <w:start w:val="1"/>
      <w:numFmt w:val="decimal"/>
      <w:lvlText w:val="%1)"/>
      <w:lvlJc w:val="left"/>
      <w:pPr>
        <w:ind w:left="1445" w:hanging="360"/>
      </w:pPr>
    </w:lvl>
    <w:lvl w:ilvl="1" w:tplc="04150019" w:tentative="1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7" w15:restartNumberingAfterBreak="0">
    <w:nsid w:val="50E225A4"/>
    <w:multiLevelType w:val="hybridMultilevel"/>
    <w:tmpl w:val="D622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84AEE"/>
    <w:multiLevelType w:val="hybridMultilevel"/>
    <w:tmpl w:val="B41405F6"/>
    <w:lvl w:ilvl="0" w:tplc="7AB27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B722E"/>
    <w:multiLevelType w:val="hybridMultilevel"/>
    <w:tmpl w:val="7F823714"/>
    <w:lvl w:ilvl="0" w:tplc="7A3A9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803099"/>
    <w:multiLevelType w:val="hybridMultilevel"/>
    <w:tmpl w:val="43CA2D46"/>
    <w:lvl w:ilvl="0" w:tplc="635E7C3C">
      <w:start w:val="3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66D5E2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16990A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F2C5C2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7E964C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B01DD2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28A120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E8829C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40A4FE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E"/>
    <w:rsid w:val="00070392"/>
    <w:rsid w:val="00084F19"/>
    <w:rsid w:val="000A772C"/>
    <w:rsid w:val="000E63E6"/>
    <w:rsid w:val="00105224"/>
    <w:rsid w:val="00154CF1"/>
    <w:rsid w:val="001969D8"/>
    <w:rsid w:val="001D6378"/>
    <w:rsid w:val="00282975"/>
    <w:rsid w:val="00305B73"/>
    <w:rsid w:val="00313EC5"/>
    <w:rsid w:val="0035076B"/>
    <w:rsid w:val="003B038E"/>
    <w:rsid w:val="00413D79"/>
    <w:rsid w:val="00450771"/>
    <w:rsid w:val="0048026A"/>
    <w:rsid w:val="0051766F"/>
    <w:rsid w:val="0056085C"/>
    <w:rsid w:val="00572FBD"/>
    <w:rsid w:val="00660639"/>
    <w:rsid w:val="00711C8F"/>
    <w:rsid w:val="00772DC7"/>
    <w:rsid w:val="007C76E7"/>
    <w:rsid w:val="008A67A7"/>
    <w:rsid w:val="00931FC2"/>
    <w:rsid w:val="009846F7"/>
    <w:rsid w:val="009A700E"/>
    <w:rsid w:val="00A23974"/>
    <w:rsid w:val="00A85E9F"/>
    <w:rsid w:val="00AC0DA3"/>
    <w:rsid w:val="00B75F29"/>
    <w:rsid w:val="00B840F3"/>
    <w:rsid w:val="00BA3C9B"/>
    <w:rsid w:val="00CA5504"/>
    <w:rsid w:val="00D93BC6"/>
    <w:rsid w:val="00E83BDD"/>
    <w:rsid w:val="00F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140BC-EEA4-446A-AF15-AB7BD3E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00E"/>
    <w:pPr>
      <w:spacing w:after="29" w:line="265" w:lineRule="auto"/>
      <w:ind w:left="10" w:right="39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9A700E"/>
    <w:pPr>
      <w:keepNext/>
      <w:keepLines/>
      <w:spacing w:after="544" w:line="253" w:lineRule="auto"/>
      <w:ind w:left="3363" w:hanging="2530"/>
      <w:outlineLvl w:val="2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700E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D7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3D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37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66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66F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17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pwr.edu.pl/zakupy/Forms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ntranet.pwr.edu.pl/zakupy/Forms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mowy@pwr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Lenczuk</dc:creator>
  <cp:lastModifiedBy>Wioletta Krutyj</cp:lastModifiedBy>
  <cp:revision>2</cp:revision>
  <dcterms:created xsi:type="dcterms:W3CDTF">2025-05-29T08:39:00Z</dcterms:created>
  <dcterms:modified xsi:type="dcterms:W3CDTF">2025-05-29T08:39:00Z</dcterms:modified>
</cp:coreProperties>
</file>